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240" w:lineRule="auto"/>
        <w:jc w:val="both"/>
        <w:rPr>
          <w:rFonts w:ascii="宋体" w:hAnsi="宋体" w:eastAsia="宋体"/>
          <w:b/>
          <w:color w:val="000000"/>
          <w:sz w:val="28"/>
        </w:rPr>
      </w:pPr>
      <w:r>
        <w:rPr>
          <w:rFonts w:hint="eastAsia" w:ascii="宋体" w:hAnsi="宋体" w:eastAsia="宋体" w:cs="宋体"/>
          <w:b/>
          <w:bCs w:val="0"/>
          <w:color w:val="000000"/>
          <w:szCs w:val="32"/>
        </w:rPr>
        <w:t xml:space="preserve">附件2 </w:t>
      </w:r>
      <w:r>
        <w:rPr>
          <w:rFonts w:hint="eastAsia" w:ascii="宋体" w:hAnsi="宋体" w:cs="宋体"/>
          <w:b/>
          <w:bCs w:val="0"/>
          <w:color w:val="000000"/>
          <w:szCs w:val="32"/>
          <w:lang w:val="en-US" w:eastAsia="zh-CN"/>
        </w:rPr>
        <w:t xml:space="preserve"> </w:t>
      </w:r>
      <w:r>
        <w:rPr>
          <w:rFonts w:hint="eastAsia" w:ascii="宋体" w:hAnsi="宋体" w:eastAsia="宋体" w:cs="宋体"/>
          <w:b/>
          <w:bCs w:val="0"/>
          <w:color w:val="000000"/>
          <w:szCs w:val="32"/>
        </w:rPr>
        <w:t>202</w:t>
      </w:r>
      <w:r>
        <w:rPr>
          <w:rFonts w:hint="eastAsia" w:ascii="宋体" w:hAnsi="宋体" w:cs="宋体"/>
          <w:b/>
          <w:bCs w:val="0"/>
          <w:color w:val="000000"/>
          <w:szCs w:val="32"/>
          <w:lang w:val="en-US" w:eastAsia="zh-CN"/>
        </w:rPr>
        <w:t xml:space="preserve">3版v10            </w:t>
      </w:r>
      <w:r>
        <w:rPr>
          <w:rFonts w:ascii="宋体" w:hAnsi="宋体" w:eastAsia="宋体"/>
          <w:b/>
          <w:color w:val="000000"/>
          <w:sz w:val="28"/>
        </w:rPr>
        <w:t>信息查询使用授权书</w:t>
      </w:r>
    </w:p>
    <w:p>
      <w:pPr>
        <w:pStyle w:val="2"/>
        <w:widowControl/>
        <w:spacing w:before="0" w:after="0" w:line="240" w:lineRule="auto"/>
        <w:jc w:val="center"/>
        <w:rPr>
          <w:rFonts w:ascii="宋体" w:hAnsi="宋体" w:eastAsia="宋体"/>
          <w:kern w:val="2"/>
          <w:sz w:val="21"/>
        </w:rPr>
      </w:pPr>
      <w:r>
        <w:rPr>
          <w:rFonts w:hint="eastAsia" w:ascii="宋体" w:hAnsi="宋体"/>
          <w:b w:val="0"/>
        </w:rPr>
        <w:t>【适用于对公客户】</w:t>
      </w:r>
    </w:p>
    <w:p>
      <w:pPr>
        <w:autoSpaceDE w:val="0"/>
        <w:autoSpaceDN w:val="0"/>
        <w:adjustRightInd w:val="0"/>
        <w:snapToGrid w:val="0"/>
        <w:spacing w:line="360" w:lineRule="auto"/>
        <w:rPr>
          <w:rFonts w:ascii="宋体" w:hAnsi="宋体" w:eastAsia="宋体"/>
          <w:kern w:val="2"/>
          <w:sz w:val="21"/>
        </w:rPr>
      </w:pPr>
      <w:r>
        <w:rPr>
          <w:rFonts w:ascii="宋体" w:hAnsi="宋体" w:eastAsia="宋体"/>
          <w:kern w:val="2"/>
          <w:sz w:val="21"/>
        </w:rPr>
        <w:t>中国工商银行股份有限公司：</w:t>
      </w:r>
      <w:r>
        <w:rPr>
          <w:rFonts w:hint="eastAsia" w:ascii="仿宋_GB2312" w:hAnsi="仿宋_GB2312" w:eastAsia="仿宋_GB2312" w:cs="仿宋_GB2312"/>
          <w:color w:val="000000"/>
          <w:sz w:val="22"/>
          <w:szCs w:val="22"/>
          <w:lang w:val="en-US" w:eastAsia="zh-CN"/>
        </w:rPr>
        <w:t>双流</w:t>
      </w:r>
      <w:r>
        <w:rPr>
          <w:rFonts w:hint="eastAsia" w:ascii="仿宋_GB2312" w:hAnsi="仿宋_GB2312" w:eastAsia="仿宋_GB2312" w:cs="仿宋_GB2312"/>
          <w:color w:val="000000"/>
          <w:sz w:val="22"/>
          <w:szCs w:val="22"/>
          <w:lang w:eastAsia="zh-CN"/>
        </w:rPr>
        <w:t>支行</w:t>
      </w:r>
    </w:p>
    <w:p>
      <w:pPr>
        <w:autoSpaceDE w:val="0"/>
        <w:autoSpaceDN w:val="0"/>
        <w:adjustRightInd w:val="0"/>
        <w:snapToGrid w:val="0"/>
        <w:spacing w:line="360" w:lineRule="auto"/>
        <w:ind w:firstLine="402" w:firstLineChars="200"/>
        <w:rPr>
          <w:rFonts w:ascii="宋体" w:hAnsi="宋体" w:eastAsia="宋体"/>
          <w:b/>
          <w:bCs/>
          <w:kern w:val="2"/>
          <w:sz w:val="20"/>
          <w:szCs w:val="18"/>
        </w:rPr>
      </w:pPr>
      <w:r>
        <w:rPr>
          <w:rFonts w:ascii="宋体" w:hAnsi="宋体" w:eastAsia="宋体"/>
          <w:b/>
          <w:bCs/>
          <w:kern w:val="2"/>
          <w:sz w:val="20"/>
          <w:szCs w:val="18"/>
        </w:rPr>
        <w:t>鉴于</w:t>
      </w:r>
      <w:r>
        <w:rPr>
          <w:rFonts w:ascii="宋体" w:hAnsi="宋体" w:eastAsia="宋体"/>
          <w:b/>
          <w:bCs/>
          <w:kern w:val="2"/>
          <w:sz w:val="20"/>
          <w:szCs w:val="18"/>
          <w:u w:val="single"/>
        </w:rPr>
        <w:t xml:space="preserve"> </w:t>
      </w:r>
      <w:r>
        <w:rPr>
          <w:rFonts w:hint="eastAsia" w:ascii="仿宋_GB2312" w:hAnsi="仿宋_GB2312" w:eastAsia="仿宋_GB2312" w:cs="仿宋_GB2312"/>
          <w:color w:val="000000"/>
          <w:sz w:val="22"/>
          <w:szCs w:val="22"/>
          <w:u w:val="single"/>
          <w:lang w:val="en-US" w:eastAsia="zh-CN"/>
        </w:rPr>
        <w:t>xxxxxxxxxxxx有限公司</w:t>
      </w:r>
      <w:r>
        <w:rPr>
          <w:rFonts w:hint="eastAsia" w:ascii="宋体" w:hAnsi="宋体" w:eastAsia="宋体"/>
          <w:b/>
          <w:bCs/>
          <w:kern w:val="2"/>
          <w:sz w:val="20"/>
          <w:szCs w:val="18"/>
          <w:u w:val="single"/>
          <w:lang w:val="en-US" w:eastAsia="zh-CN"/>
        </w:rPr>
        <w:t xml:space="preserve">  </w:t>
      </w:r>
      <w:r>
        <w:rPr>
          <w:rFonts w:ascii="宋体" w:hAnsi="宋体" w:eastAsia="宋体"/>
          <w:b/>
          <w:bCs/>
          <w:kern w:val="2"/>
          <w:sz w:val="20"/>
          <w:szCs w:val="18"/>
          <w:u w:val="single"/>
        </w:rPr>
        <w:t xml:space="preserve"> </w:t>
      </w:r>
      <w:r>
        <w:rPr>
          <w:rFonts w:ascii="宋体" w:hAnsi="宋体" w:eastAsia="宋体"/>
          <w:b/>
          <w:bCs/>
          <w:kern w:val="2"/>
          <w:sz w:val="20"/>
          <w:szCs w:val="18"/>
        </w:rPr>
        <w:t>（以下简称“本单位”）在贵行申请（参与</w:t>
      </w:r>
      <w:r>
        <w:rPr>
          <w:rStyle w:val="8"/>
          <w:rFonts w:hint="default" w:ascii="宋体" w:hAnsi="宋体" w:eastAsia="宋体"/>
          <w:b/>
          <w:bCs/>
          <w:kern w:val="2"/>
          <w:sz w:val="20"/>
          <w:szCs w:val="18"/>
        </w:rPr>
        <w:footnoteReference w:id="0"/>
      </w:r>
      <w:r>
        <w:rPr>
          <w:rFonts w:ascii="宋体" w:hAnsi="宋体" w:eastAsia="宋体"/>
          <w:b/>
          <w:bCs/>
          <w:kern w:val="2"/>
          <w:sz w:val="20"/>
          <w:szCs w:val="18"/>
        </w:rPr>
        <w:t>）办理客户评级授信、信贷业务、对公信用卡、金融资产服务业务、</w:t>
      </w:r>
      <w:r>
        <w:rPr>
          <w:rFonts w:hint="eastAsia" w:ascii="宋体" w:hAnsi="宋体" w:eastAsia="宋体"/>
          <w:b/>
          <w:bCs/>
          <w:kern w:val="2"/>
          <w:sz w:val="20"/>
          <w:szCs w:val="18"/>
          <w:lang w:eastAsia="zh-CN"/>
        </w:rPr>
        <w:t>个贷合作机构准入、</w:t>
      </w:r>
      <w:r>
        <w:rPr>
          <w:rFonts w:hint="eastAsia" w:ascii="宋体" w:hAnsi="宋体" w:eastAsia="宋体"/>
          <w:b/>
          <w:bCs/>
          <w:kern w:val="2"/>
          <w:sz w:val="20"/>
          <w:szCs w:val="18"/>
          <w:u w:val="single" w:color="auto"/>
          <w:lang w:eastAsia="zh-CN"/>
        </w:rPr>
        <w:t>商户收单业务</w:t>
      </w:r>
      <w:r>
        <w:rPr>
          <w:rFonts w:ascii="宋体" w:hAnsi="宋体" w:eastAsia="宋体"/>
          <w:b/>
          <w:bCs/>
          <w:kern w:val="2"/>
          <w:sz w:val="20"/>
          <w:szCs w:val="18"/>
          <w:u w:val="single"/>
        </w:rPr>
        <w:t xml:space="preserve">                       </w:t>
      </w:r>
      <w:r>
        <w:rPr>
          <w:rFonts w:ascii="宋体" w:hAnsi="宋体" w:eastAsia="宋体"/>
          <w:b/>
          <w:bCs/>
          <w:kern w:val="2"/>
          <w:sz w:val="20"/>
          <w:szCs w:val="18"/>
        </w:rPr>
        <w:t>（其他用途约定）等金融产品/服务，本单位现授权贵行在相关金融产品和服务的尽职调查、审查审批、业务办理、融资发放、贷后（办后）管理、欠款催收和客户分析等业务处理过程中，查询和使用本单位的相关信息，相关信息包括：</w:t>
      </w:r>
    </w:p>
    <w:p>
      <w:pPr>
        <w:autoSpaceDE w:val="0"/>
        <w:autoSpaceDN w:val="0"/>
        <w:adjustRightInd w:val="0"/>
        <w:snapToGrid w:val="0"/>
        <w:spacing w:line="240" w:lineRule="auto"/>
        <w:ind w:firstLine="402" w:firstLineChars="200"/>
        <w:rPr>
          <w:rFonts w:ascii="宋体" w:hAnsi="宋体" w:eastAsia="宋体"/>
          <w:b/>
          <w:bCs/>
          <w:kern w:val="2"/>
          <w:sz w:val="20"/>
          <w:szCs w:val="18"/>
        </w:rPr>
      </w:pPr>
      <w:r>
        <w:rPr>
          <w:rFonts w:ascii="宋体" w:hAnsi="宋体" w:eastAsia="宋体"/>
          <w:b/>
          <w:bCs/>
          <w:kern w:val="2"/>
          <w:sz w:val="20"/>
          <w:szCs w:val="18"/>
        </w:rPr>
        <w:t>1.本单位在金融信用信息基础数据库中的相关信息。</w:t>
      </w:r>
    </w:p>
    <w:p>
      <w:pPr>
        <w:autoSpaceDE w:val="0"/>
        <w:autoSpaceDN w:val="0"/>
        <w:adjustRightInd w:val="0"/>
        <w:snapToGrid w:val="0"/>
        <w:spacing w:line="240" w:lineRule="auto"/>
        <w:ind w:firstLine="400" w:firstLineChars="200"/>
        <w:rPr>
          <w:rFonts w:ascii="宋体" w:hAnsi="宋体" w:eastAsia="宋体"/>
          <w:kern w:val="2"/>
          <w:sz w:val="20"/>
          <w:szCs w:val="18"/>
        </w:rPr>
      </w:pPr>
      <w:r>
        <w:rPr>
          <w:rFonts w:ascii="宋体" w:hAnsi="宋体" w:eastAsia="宋体"/>
          <w:kern w:val="2"/>
          <w:sz w:val="20"/>
          <w:szCs w:val="18"/>
        </w:rPr>
        <w:t>2.本单位工商登记信息、海关进出口信息、纳税信息、发票信息、财务信息、水电费缴费情况及数据、代发工资信息、通讯费缴费信息、POS收单数据、互联网征信信息、支付结算信息、抵质押信息以及其他第三方机构持有的本单位相关信息等。</w:t>
      </w:r>
    </w:p>
    <w:p>
      <w:pPr>
        <w:autoSpaceDE w:val="0"/>
        <w:autoSpaceDN w:val="0"/>
        <w:adjustRightInd w:val="0"/>
        <w:snapToGrid w:val="0"/>
        <w:spacing w:line="240" w:lineRule="auto"/>
        <w:ind w:firstLine="400" w:firstLineChars="200"/>
        <w:rPr>
          <w:rFonts w:ascii="宋体" w:hAnsi="宋体" w:eastAsia="宋体"/>
          <w:kern w:val="2"/>
          <w:sz w:val="20"/>
          <w:szCs w:val="18"/>
        </w:rPr>
      </w:pPr>
      <w:r>
        <w:rPr>
          <w:rFonts w:ascii="宋体" w:hAnsi="宋体" w:eastAsia="宋体"/>
          <w:kern w:val="2"/>
          <w:sz w:val="20"/>
          <w:szCs w:val="18"/>
        </w:rPr>
        <w:t>3.本单位公安涉案信息、涉及诉讼或仲裁信息、资产被查封、扣押或被强制执行情况、法院诉讼判决、仲裁裁决、行政处罚、社保缴纳情况等。</w:t>
      </w:r>
    </w:p>
    <w:p>
      <w:pPr>
        <w:autoSpaceDE w:val="0"/>
        <w:autoSpaceDN w:val="0"/>
        <w:adjustRightInd w:val="0"/>
        <w:snapToGrid w:val="0"/>
        <w:spacing w:line="240" w:lineRule="auto"/>
        <w:ind w:firstLine="400" w:firstLineChars="200"/>
        <w:rPr>
          <w:rFonts w:ascii="宋体" w:hAnsi="宋体" w:eastAsia="宋体"/>
          <w:kern w:val="2"/>
          <w:sz w:val="20"/>
          <w:szCs w:val="18"/>
        </w:rPr>
      </w:pPr>
      <w:r>
        <w:rPr>
          <w:rFonts w:ascii="宋体" w:hAnsi="宋体" w:eastAsia="宋体"/>
          <w:kern w:val="2"/>
          <w:sz w:val="20"/>
          <w:szCs w:val="18"/>
        </w:rPr>
        <w:t>4.为免歧义，相关信</w:t>
      </w:r>
      <w:bookmarkStart w:id="0" w:name="_GoBack"/>
      <w:bookmarkEnd w:id="0"/>
      <w:r>
        <w:rPr>
          <w:rFonts w:ascii="宋体" w:hAnsi="宋体" w:eastAsia="宋体"/>
          <w:kern w:val="2"/>
          <w:sz w:val="20"/>
          <w:szCs w:val="18"/>
        </w:rPr>
        <w:t>息不包括任何可通过公开渠道获取的信息。</w:t>
      </w:r>
    </w:p>
    <w:p>
      <w:pPr>
        <w:autoSpaceDE w:val="0"/>
        <w:autoSpaceDN w:val="0"/>
        <w:adjustRightInd w:val="0"/>
        <w:snapToGrid w:val="0"/>
        <w:spacing w:line="240" w:lineRule="auto"/>
        <w:ind w:firstLine="402" w:firstLineChars="200"/>
        <w:rPr>
          <w:rFonts w:ascii="宋体" w:hAnsi="宋体" w:eastAsia="宋体"/>
          <w:b/>
          <w:kern w:val="2"/>
          <w:sz w:val="20"/>
          <w:szCs w:val="18"/>
        </w:rPr>
      </w:pPr>
      <w:r>
        <w:rPr>
          <w:rFonts w:ascii="宋体" w:hAnsi="宋体" w:eastAsia="宋体"/>
          <w:b/>
          <w:kern w:val="2"/>
          <w:sz w:val="20"/>
          <w:szCs w:val="18"/>
        </w:rPr>
        <w:t>本单位授权贵行对以上信息进行查询和使用，具体如下：</w:t>
      </w:r>
    </w:p>
    <w:p>
      <w:pPr>
        <w:autoSpaceDE w:val="0"/>
        <w:autoSpaceDN w:val="0"/>
        <w:adjustRightInd w:val="0"/>
        <w:snapToGrid w:val="0"/>
        <w:spacing w:line="240" w:lineRule="auto"/>
        <w:ind w:firstLine="402" w:firstLineChars="200"/>
        <w:rPr>
          <w:rFonts w:ascii="宋体" w:hAnsi="宋体" w:eastAsia="宋体"/>
          <w:b/>
          <w:bCs/>
          <w:kern w:val="2"/>
          <w:sz w:val="20"/>
          <w:szCs w:val="18"/>
        </w:rPr>
      </w:pPr>
      <w:r>
        <w:rPr>
          <w:rFonts w:ascii="宋体" w:hAnsi="宋体" w:eastAsia="宋体"/>
          <w:b/>
          <w:bCs/>
          <w:kern w:val="2"/>
          <w:sz w:val="20"/>
          <w:szCs w:val="18"/>
        </w:rPr>
        <w:t>1.同意贵行将与本单位签订的合同/协议项下有关信息，以及贵行获得的其他本单位相关信息提供给金融信用信息基础数据库。</w:t>
      </w:r>
    </w:p>
    <w:p>
      <w:pPr>
        <w:autoSpaceDE w:val="0"/>
        <w:autoSpaceDN w:val="0"/>
        <w:adjustRightInd w:val="0"/>
        <w:snapToGrid w:val="0"/>
        <w:spacing w:line="240" w:lineRule="auto"/>
        <w:ind w:firstLine="400" w:firstLineChars="200"/>
        <w:rPr>
          <w:rFonts w:ascii="宋体" w:hAnsi="宋体" w:eastAsia="宋体"/>
          <w:color w:val="000000"/>
          <w:sz w:val="20"/>
          <w:szCs w:val="18"/>
        </w:rPr>
      </w:pPr>
      <w:r>
        <w:rPr>
          <w:rFonts w:ascii="宋体" w:hAnsi="宋体" w:eastAsia="宋体"/>
          <w:color w:val="000000"/>
          <w:sz w:val="20"/>
          <w:szCs w:val="18"/>
        </w:rPr>
        <w:t>2.本单位向贵行提供的相关信息以及贵行在为本单位提供金融服务过程中获得的本单位其他信息会在贵行分支机构和集团成员之间内部共享。</w:t>
      </w:r>
    </w:p>
    <w:p>
      <w:pPr>
        <w:autoSpaceDE w:val="0"/>
        <w:autoSpaceDN w:val="0"/>
        <w:adjustRightInd w:val="0"/>
        <w:snapToGrid w:val="0"/>
        <w:spacing w:line="240" w:lineRule="auto"/>
        <w:ind w:firstLine="400" w:firstLineChars="200"/>
        <w:rPr>
          <w:rFonts w:ascii="宋体" w:hAnsi="宋体" w:eastAsia="宋体"/>
          <w:color w:val="000000"/>
          <w:sz w:val="20"/>
          <w:szCs w:val="18"/>
        </w:rPr>
      </w:pPr>
      <w:r>
        <w:rPr>
          <w:rFonts w:ascii="宋体" w:hAnsi="宋体" w:eastAsia="宋体"/>
          <w:color w:val="000000"/>
          <w:sz w:val="20"/>
          <w:szCs w:val="18"/>
        </w:rPr>
        <w:t>3.根据适用的法律法规和监管要求，贵行会将本单位的相关信息提供给有关的监管、司法、行政管理等部门。根据欠款催收、债权转让、金融服务外包等需要，贵行也会将本单位的相关信息提供给有关的第三方机构。</w:t>
      </w:r>
    </w:p>
    <w:p>
      <w:pPr>
        <w:autoSpaceDE w:val="0"/>
        <w:autoSpaceDN w:val="0"/>
        <w:adjustRightInd w:val="0"/>
        <w:snapToGrid w:val="0"/>
        <w:spacing w:line="240" w:lineRule="auto"/>
        <w:ind w:firstLine="402" w:firstLineChars="200"/>
        <w:rPr>
          <w:rFonts w:ascii="宋体" w:hAnsi="宋体" w:eastAsia="宋体"/>
          <w:b/>
          <w:bCs/>
          <w:color w:val="000000"/>
          <w:sz w:val="20"/>
          <w:szCs w:val="18"/>
        </w:rPr>
      </w:pPr>
      <w:r>
        <w:rPr>
          <w:rFonts w:ascii="宋体" w:hAnsi="宋体" w:eastAsia="宋体"/>
          <w:b/>
          <w:bCs/>
          <w:color w:val="000000"/>
          <w:sz w:val="20"/>
          <w:szCs w:val="18"/>
        </w:rPr>
        <w:t>4.在使用本单位信息时，贵行会采取必要措施保障信息安全，防止本单位信息非法泄露或不当使用。贵行超出上述授权查询、使用、报送本单位信息的一切后果和法律责任由贵行承担。</w:t>
      </w:r>
    </w:p>
    <w:p>
      <w:pPr>
        <w:autoSpaceDE w:val="0"/>
        <w:autoSpaceDN w:val="0"/>
        <w:adjustRightInd w:val="0"/>
        <w:snapToGrid w:val="0"/>
        <w:spacing w:line="240" w:lineRule="auto"/>
        <w:ind w:firstLine="402" w:firstLineChars="200"/>
        <w:rPr>
          <w:rFonts w:ascii="宋体" w:hAnsi="宋体" w:eastAsia="宋体"/>
          <w:b/>
          <w:bCs/>
          <w:kern w:val="2"/>
          <w:sz w:val="20"/>
          <w:szCs w:val="18"/>
        </w:rPr>
      </w:pPr>
      <w:r>
        <w:rPr>
          <w:rFonts w:ascii="宋体" w:hAnsi="宋体" w:eastAsia="宋体"/>
          <w:b/>
          <w:bCs/>
          <w:color w:val="000000"/>
          <w:sz w:val="20"/>
          <w:szCs w:val="18"/>
        </w:rPr>
        <w:t>5.</w:t>
      </w:r>
      <w:r>
        <w:rPr>
          <w:rFonts w:ascii="宋体" w:hAnsi="宋体" w:eastAsia="宋体"/>
          <w:b/>
          <w:bCs/>
          <w:kern w:val="2"/>
          <w:sz w:val="20"/>
          <w:szCs w:val="18"/>
        </w:rPr>
        <w:t>本授权书所涉及信息的查询使用授权有效期为自本单位法定代表人（授权代理人）签署并加盖公章之日起至本单位在中国工商银行股份有限公司申请（参与）办理的所有授信类金融产品/服务终止之日止。</w:t>
      </w:r>
      <w:r>
        <w:rPr>
          <w:rFonts w:hint="eastAsia" w:ascii="宋体" w:hAnsi="宋体" w:eastAsia="宋体"/>
          <w:b/>
          <w:bCs/>
          <w:kern w:val="2"/>
          <w:sz w:val="20"/>
          <w:szCs w:val="18"/>
          <w:lang w:eastAsia="zh-CN"/>
        </w:rPr>
        <w:t>如办理非授信类业务的，则至该笔业务终止之日止。</w:t>
      </w:r>
    </w:p>
    <w:p>
      <w:pPr>
        <w:autoSpaceDE w:val="0"/>
        <w:autoSpaceDN w:val="0"/>
        <w:adjustRightInd w:val="0"/>
        <w:snapToGrid w:val="0"/>
        <w:spacing w:line="240" w:lineRule="auto"/>
        <w:ind w:firstLine="402" w:firstLineChars="200"/>
        <w:rPr>
          <w:rFonts w:ascii="宋体" w:hAnsi="宋体" w:eastAsia="宋体"/>
          <w:b/>
          <w:color w:val="000000"/>
          <w:sz w:val="20"/>
          <w:szCs w:val="18"/>
        </w:rPr>
      </w:pPr>
      <w:r>
        <w:rPr>
          <w:rFonts w:ascii="宋体" w:hAnsi="宋体" w:eastAsia="宋体"/>
          <w:b/>
          <w:color w:val="000000"/>
          <w:sz w:val="20"/>
          <w:szCs w:val="18"/>
        </w:rPr>
        <w:t>本单位声明，知悉并理解本授权书条款的内容。</w:t>
      </w:r>
    </w:p>
    <w:p>
      <w:pPr>
        <w:autoSpaceDE w:val="0"/>
        <w:autoSpaceDN w:val="0"/>
        <w:adjustRightInd w:val="0"/>
        <w:snapToGrid w:val="0"/>
        <w:spacing w:line="240" w:lineRule="auto"/>
        <w:ind w:firstLine="420" w:firstLineChars="200"/>
        <w:rPr>
          <w:sz w:val="20"/>
        </w:rPr>
      </w:pPr>
      <w:r>
        <w:drawing>
          <wp:anchor distT="0" distB="0" distL="114300" distR="114300" simplePos="0" relativeHeight="251660288" behindDoc="1" locked="0" layoutInCell="1" allowOverlap="1">
            <wp:simplePos x="0" y="0"/>
            <wp:positionH relativeFrom="column">
              <wp:posOffset>177165</wp:posOffset>
            </wp:positionH>
            <wp:positionV relativeFrom="paragraph">
              <wp:posOffset>163830</wp:posOffset>
            </wp:positionV>
            <wp:extent cx="76200" cy="76200"/>
            <wp:effectExtent l="0" t="0" r="0" b="0"/>
            <wp:wrapThrough wrapText="bothSides">
              <wp:wrapPolygon>
                <wp:start x="0" y="0"/>
                <wp:lineTo x="0" y="16200"/>
                <wp:lineTo x="16200" y="16200"/>
                <wp:lineTo x="16200" y="0"/>
                <wp:lineTo x="0" y="0"/>
              </wp:wrapPolygon>
            </wp:wrapThrough>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5"/>
                    <a:stretch>
                      <a:fillRect/>
                    </a:stretch>
                  </pic:blipFill>
                  <pic:spPr>
                    <a:xfrm>
                      <a:off x="0" y="0"/>
                      <a:ext cx="76200" cy="76200"/>
                    </a:xfrm>
                    <a:prstGeom prst="rect">
                      <a:avLst/>
                    </a:prstGeom>
                    <a:noFill/>
                    <a:ln>
                      <a:noFill/>
                    </a:ln>
                  </pic:spPr>
                </pic:pic>
              </a:graphicData>
            </a:graphic>
          </wp:anchor>
        </w:drawing>
      </w:r>
      <w:r>
        <w:rPr>
          <w:sz w:val="20"/>
        </w:rPr>
        <mc:AlternateContent>
          <mc:Choice Requires="wps">
            <w:drawing>
              <wp:anchor distT="0" distB="0" distL="114300" distR="114300" simplePos="0" relativeHeight="251659264" behindDoc="0" locked="0" layoutInCell="1" allowOverlap="1">
                <wp:simplePos x="0" y="0"/>
                <wp:positionH relativeFrom="column">
                  <wp:posOffset>-79375</wp:posOffset>
                </wp:positionH>
                <wp:positionV relativeFrom="paragraph">
                  <wp:posOffset>69215</wp:posOffset>
                </wp:positionV>
                <wp:extent cx="549148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49148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25pt;margin-top:5.45pt;height:0.05pt;width:432.4pt;z-index:251659264;mso-width-relative:page;mso-height-relative:page;" filled="f" stroked="t" coordsize="21600,21600" o:gfxdata="UEsDBAoAAAAAAIdO4kAAAAAAAAAAAAAAAAAEAAAAZHJzL1BLAwQUAAAACACHTuJA93j8jdgAAAAJ&#10;AQAADwAAAGRycy9kb3ducmV2LnhtbE2Py07DMBBF90j8gzVI7Fo7oS9CnApVQuqGVm35ADeeJhHx&#10;OIrdR/r1DCtYztyjO2fy5c214oJ9aDxpSMYKBFLpbUOVhq/Dx2gBIkRD1rSeUMOAAZbF40NuMuuv&#10;tMPLPlaCSyhkRkMdY5dJGcoanQlj3yFxdvK9M5HHvpK2N1cud61MlZpJZxriC7XpcFVj+b0/Ow27&#10;ld/M37vJdr2Jn6f5/T5gWQ1aPz8l6g1ExFv8g+FXn9WhYKejP5MNotUwStIpoxyoVxAMLKbpC4gj&#10;LxIFssjl/w+KH1BLAwQUAAAACACHTuJA/6CktN0BAACZAwAADgAAAGRycy9lMm9Eb2MueG1srVNL&#10;jhMxEN0jcQfLe9LJkAyhlc4sJgwbBJFgDlCx3d2W/JPLk04uwQWQ2MGKJfu5DcMxpuyEDJ8NQvSi&#10;uux6fl3vuXpxsbOGbVVE7V3DJ6MxZ8oJL7XrGn797urJnDNM4CQY71TD9wr5xfLxo8UQanXme2+k&#10;ioxIHNZDaHifUqirCkWvLODIB+Wo2PpoIdEydpWMMBC7NdXZeHxeDT7KEL1QiLS7OhT5svC3rRLp&#10;TduiSsw0nHpLJcYSNzlWywXUXYTQa3FsA/6hCwva0UdPVCtIwG6i/oPKahE9+jaNhLeVb1stVNFA&#10;aibj39S87SGoooXMwXCyCf8frXi9XUemZcOnnDmwdEV3H75+e//p++1HindfPrNpNmkIWBP20q3j&#10;cYVhHbPiXRttfpMWtivG7k/Gql1igjZn0+eT6Zz8F1Q7fzrLjNXD0RAxvVTespw03GiXVUMN21eY&#10;DtAfkLxtHBto1mbzZzNiBJqa1kCi1AbSga4rh9EbLa+0MfkIxm5zaSLbQp6D8hx7+AWWv7IC7A+4&#10;UsowqHsF8oWTLO0DOeRolHnuwSrJmVE0+TkryATa/A2S5BtHLmRjD1bmbOPlnu7jJkTd9WTFpHSZ&#10;K3T/xbPjrOYB+3ldmB7+qOU9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93j8jdgAAAAJAQAADwAA&#10;AAAAAAABACAAAAAiAAAAZHJzL2Rvd25yZXYueG1sUEsBAhQAFAAAAAgAh07iQP+gpLTdAQAAmQMA&#10;AA4AAAAAAAAAAQAgAAAAJwEAAGRycy9lMm9Eb2MueG1sUEsFBgAAAAAGAAYAWQEAAHYFAAAAAA==&#10;">
                <v:fill on="f" focussize="0,0"/>
                <v:stroke weight="1.25pt" color="#000000" joinstyle="round"/>
                <v:imagedata o:title=""/>
                <o:lock v:ext="edit" aspectratio="f"/>
              </v:line>
            </w:pict>
          </mc:Fallback>
        </mc:AlternateContent>
      </w:r>
    </w:p>
    <w:p>
      <w:pPr>
        <w:autoSpaceDE w:val="0"/>
        <w:autoSpaceDN w:val="0"/>
        <w:adjustRightInd w:val="0"/>
        <w:snapToGrid w:val="0"/>
        <w:spacing w:line="240" w:lineRule="auto"/>
        <w:ind w:firstLine="420" w:firstLineChars="200"/>
        <w:rPr>
          <w:rFonts w:hint="default" w:ascii="宋体" w:hAnsi="宋体" w:eastAsia="宋体"/>
        </w:rPr>
      </w:pPr>
      <w:r>
        <w:rPr>
          <w:rFonts w:ascii="宋体" w:hAnsi="宋体" w:eastAsia="宋体"/>
        </w:rPr>
        <w:t>参与办理金融产品/服务：是指作为担保人、承担无限责任的业主、股东等身份，参与申办金融产品/服务；或作为金融产品/服务申请人的利害关系人（如：关联人、基础交易</w:t>
      </w:r>
      <w:r>
        <w:rPr>
          <w:rFonts w:hint="eastAsia" w:ascii="宋体" w:hAnsi="宋体" w:eastAsia="宋体"/>
          <w:lang w:eastAsia="zh-CN"/>
        </w:rPr>
        <w:t>的债权</w:t>
      </w:r>
      <w:r>
        <w:rPr>
          <w:rFonts w:hint="eastAsia" w:ascii="宋体" w:hAnsi="宋体" w:eastAsia="宋体"/>
          <w:lang w:val="en-US" w:eastAsia="zh-CN"/>
        </w:rPr>
        <w:t>/</w:t>
      </w:r>
      <w:r>
        <w:rPr>
          <w:rFonts w:ascii="宋体" w:hAnsi="宋体" w:eastAsia="宋体"/>
        </w:rPr>
        <w:t>债务人等），配合提供业务办理审批材料，参与申办金融产品/服务。</w:t>
      </w:r>
    </w:p>
    <w:p>
      <w:pPr>
        <w:autoSpaceDE w:val="0"/>
        <w:autoSpaceDN w:val="0"/>
        <w:adjustRightInd w:val="0"/>
        <w:snapToGrid w:val="0"/>
        <w:spacing w:line="240" w:lineRule="auto"/>
        <w:ind w:firstLine="402" w:firstLineChars="200"/>
        <w:rPr>
          <w:rFonts w:ascii="宋体" w:hAnsi="宋体" w:eastAsia="宋体"/>
          <w:b/>
          <w:color w:val="000000"/>
          <w:sz w:val="20"/>
          <w:szCs w:val="18"/>
        </w:rPr>
      </w:pPr>
    </w:p>
    <w:p>
      <w:pPr>
        <w:snapToGrid w:val="0"/>
        <w:spacing w:line="360" w:lineRule="auto"/>
        <w:rPr>
          <w:rFonts w:ascii="宋体" w:hAnsi="宋体" w:eastAsia="宋体"/>
          <w:b/>
          <w:sz w:val="18"/>
          <w:szCs w:val="21"/>
        </w:rPr>
      </w:pPr>
    </w:p>
    <w:p>
      <w:pPr>
        <w:autoSpaceDE w:val="0"/>
        <w:autoSpaceDN w:val="0"/>
        <w:adjustRightInd w:val="0"/>
        <w:snapToGrid w:val="0"/>
        <w:spacing w:line="360" w:lineRule="auto"/>
        <w:ind w:left="4620" w:firstLine="360" w:firstLineChars="200"/>
        <w:rPr>
          <w:rFonts w:ascii="宋体" w:hAnsi="宋体" w:eastAsia="宋体"/>
          <w:color w:val="000000"/>
          <w:sz w:val="18"/>
          <w:szCs w:val="21"/>
        </w:rPr>
      </w:pPr>
      <w:r>
        <w:rPr>
          <w:rFonts w:ascii="宋体" w:hAnsi="宋体" w:eastAsia="宋体"/>
          <w:color w:val="000000"/>
          <w:sz w:val="18"/>
          <w:szCs w:val="21"/>
        </w:rPr>
        <w:t>公章：</w:t>
      </w:r>
      <w:r>
        <w:rPr>
          <w:rFonts w:ascii="宋体" w:hAnsi="宋体" w:eastAsia="宋体"/>
          <w:color w:val="000000"/>
          <w:sz w:val="18"/>
          <w:szCs w:val="21"/>
          <w:u w:val="single"/>
        </w:rPr>
        <w:t xml:space="preserve">                        </w:t>
      </w:r>
    </w:p>
    <w:p>
      <w:pPr>
        <w:autoSpaceDE w:val="0"/>
        <w:autoSpaceDN w:val="0"/>
        <w:adjustRightInd w:val="0"/>
        <w:snapToGrid w:val="0"/>
        <w:spacing w:line="360" w:lineRule="auto"/>
        <w:rPr>
          <w:rFonts w:ascii="宋体" w:hAnsi="宋体" w:eastAsia="宋体"/>
          <w:color w:val="000000"/>
          <w:sz w:val="18"/>
          <w:szCs w:val="21"/>
        </w:rPr>
      </w:pPr>
    </w:p>
    <w:p>
      <w:pPr>
        <w:autoSpaceDE w:val="0"/>
        <w:autoSpaceDN w:val="0"/>
        <w:adjustRightInd w:val="0"/>
        <w:snapToGrid w:val="0"/>
        <w:spacing w:line="360" w:lineRule="auto"/>
        <w:rPr>
          <w:rFonts w:ascii="宋体" w:hAnsi="宋体" w:eastAsia="宋体"/>
          <w:color w:val="000000"/>
          <w:sz w:val="18"/>
          <w:szCs w:val="21"/>
        </w:rPr>
      </w:pPr>
    </w:p>
    <w:p>
      <w:pPr>
        <w:ind w:firstLine="5940" w:firstLineChars="3300"/>
      </w:pPr>
      <w:r>
        <w:rPr>
          <w:rFonts w:ascii="宋体" w:hAnsi="宋体" w:eastAsia="宋体"/>
          <w:color w:val="000000"/>
          <w:sz w:val="18"/>
          <w:szCs w:val="21"/>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5"/>
        <w:rPr>
          <w:rFonts w:hint="eastAsia" w:ascii="宋体" w:hAnsi="宋体" w:eastAsia="宋体"/>
          <w:lang w:eastAsia="zh-CN"/>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NDIwMDJmYjFhNzY3NTU1ZmIyZjcwNmY3NTk1MzkifQ=="/>
  </w:docVars>
  <w:rsids>
    <w:rsidRoot w:val="38370C88"/>
    <w:rsid w:val="38370C88"/>
    <w:rsid w:val="539E3840"/>
    <w:rsid w:val="5CEF0F62"/>
    <w:rsid w:val="67500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spacing w:before="260" w:after="260" w:line="415" w:lineRule="auto"/>
      <w:outlineLvl w:val="1"/>
    </w:pPr>
    <w:rPr>
      <w:rFonts w:hint="default" w:ascii="Calibri" w:hAnsi="Arial" w:eastAsia="宋体"/>
      <w:b/>
      <w:kern w:val="2"/>
      <w:sz w:val="21"/>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unhideWhenUsed/>
    <w:qFormat/>
    <w:uiPriority w:val="99"/>
    <w:pPr>
      <w:snapToGrid w:val="0"/>
      <w:jc w:val="left"/>
    </w:pPr>
    <w:rPr>
      <w:sz w:val="18"/>
      <w:szCs w:val="18"/>
    </w:rPr>
  </w:style>
  <w:style w:type="character" w:styleId="8">
    <w:name w:val="footnote reference"/>
    <w:basedOn w:val="7"/>
    <w:unhideWhenUsed/>
    <w:qFormat/>
    <w:uiPriority w:val="99"/>
    <w:rPr>
      <w:rFonts w:hint="eastAsia"/>
      <w:sz w:val="32"/>
      <w:vertAlign w:val="superscript"/>
    </w:rPr>
  </w:style>
  <w:style w:type="paragraph" w:customStyle="1" w:styleId="9">
    <w:name w:val=" Char Char Char Char Char Char Char Char Char Char Char Char Char"/>
    <w:basedOn w:val="1"/>
    <w:unhideWhenUsed/>
    <w:qFormat/>
    <w:uiPriority w:val="0"/>
    <w:pPr>
      <w:widowControl/>
      <w:spacing w:after="160" w:line="240" w:lineRule="exact"/>
      <w:jc w:val="left"/>
    </w:pPr>
    <w:rPr>
      <w:rFonts w:hint="eastAsia"/>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2024-02-06T02:25:00Z</dcterms:created>
  <dc:creator>gumpgdh</dc:creator>
  <cp:lastModifiedBy>Administrator</cp:lastModifiedBy>
  <dcterms:modified xsi:type="dcterms:W3CDTF">2024-02-20T02:40:22Z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B3576D8AA72C4DDF96C4D5EB5E184704_13</vt:lpwstr>
  </property>
</Properties>
</file>